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Theme="minorEastAsia"/>
          <w:b/>
          <w:i/>
          <w:sz w:val="28"/>
          <w:lang w:val="en-US" w:eastAsia="zh-CN"/>
        </w:rPr>
      </w:pPr>
      <w:bookmarkStart w:id="0" w:name="OLE_LINK3"/>
      <w:r>
        <w:rPr>
          <w:b/>
          <w:sz w:val="24"/>
        </w:rPr>
        <w:t>3GPP TSG SA WG2 Meeting #16</w:t>
      </w:r>
      <w:r>
        <w:rPr>
          <w:rFonts w:hint="eastAsia"/>
          <w:b/>
          <w:sz w:val="24"/>
          <w:lang w:val="en-US" w:eastAsia="zh-CN"/>
        </w:rPr>
        <w:t>4</w:t>
      </w:r>
      <w:r>
        <w:rPr>
          <w:b/>
          <w:i/>
          <w:sz w:val="28"/>
        </w:rPr>
        <w:tab/>
      </w:r>
      <w:r>
        <w:rPr>
          <w:rFonts w:hint="eastAsia"/>
          <w:b/>
          <w:i/>
          <w:sz w:val="28"/>
          <w:lang w:val="en-US" w:eastAsia="zh-CN"/>
        </w:rPr>
        <w:t xml:space="preserve"> S2-2407810</w:t>
      </w:r>
    </w:p>
    <w:p w14:paraId="7CB45193">
      <w:pPr>
        <w:rPr>
          <w:rFonts w:ascii="Arial" w:hAnsi="Arial" w:cs="Arial"/>
          <w:b/>
          <w:bCs/>
          <w:sz w:val="24"/>
          <w:szCs w:val="24"/>
        </w:rPr>
      </w:pPr>
      <w:r>
        <w:rPr>
          <w:rFonts w:ascii="Arial" w:hAnsi="Arial" w:cs="Times New Roman" w:eastAsiaTheme="minorEastAsia"/>
          <w:b/>
          <w:sz w:val="24"/>
          <w:lang w:val="en-GB" w:eastAsia="en-US" w:bidi="ar-SA"/>
        </w:rPr>
        <w:t xml:space="preserve">Maastricht, </w:t>
      </w:r>
      <w:r>
        <w:rPr>
          <w:rFonts w:hint="eastAsia" w:ascii="Arial" w:hAnsi="Arial" w:cs="Times New Roman"/>
          <w:b/>
          <w:sz w:val="24"/>
          <w:lang w:val="en-US" w:eastAsia="zh-CN" w:bidi="ar-SA"/>
        </w:rPr>
        <w:t>NL</w:t>
      </w:r>
      <w:r>
        <w:rPr>
          <w:rFonts w:ascii="Arial" w:hAnsi="Arial" w:cs="Times New Roman" w:eastAsiaTheme="minorEastAsia"/>
          <w:b/>
          <w:sz w:val="24"/>
          <w:lang w:val="en-GB" w:eastAsia="en-US" w:bidi="ar-SA"/>
        </w:rPr>
        <w:t xml:space="preserve">, </w:t>
      </w:r>
      <w:r>
        <w:rPr>
          <w:rFonts w:ascii="Arial" w:hAnsi="Arial" w:cs="Arial"/>
          <w:b/>
          <w:bCs/>
          <w:sz w:val="24"/>
          <w:szCs w:val="24"/>
        </w:rPr>
        <w:t xml:space="preserve"> </w:t>
      </w:r>
      <w:r>
        <w:rPr>
          <w:rFonts w:hint="eastAsia" w:ascii="Arial" w:hAnsi="Arial" w:cs="Arial"/>
          <w:b/>
          <w:bCs/>
          <w:sz w:val="24"/>
          <w:szCs w:val="24"/>
        </w:rPr>
        <w:t>August</w:t>
      </w:r>
      <w:r>
        <w:rPr>
          <w:rFonts w:hint="eastAsia" w:ascii="Arial" w:hAnsi="Arial" w:cs="Arial"/>
          <w:b/>
          <w:bCs/>
          <w:sz w:val="24"/>
          <w:szCs w:val="24"/>
          <w:lang w:val="en-US" w:eastAsia="zh-CN"/>
        </w:rPr>
        <w:t xml:space="preserve"> 19</w:t>
      </w:r>
      <w:r>
        <w:rPr>
          <w:rFonts w:ascii="Arial" w:hAnsi="Arial" w:cs="Arial"/>
          <w:b/>
          <w:bCs/>
          <w:sz w:val="24"/>
          <w:szCs w:val="24"/>
        </w:rPr>
        <w:t xml:space="preserve"> - </w:t>
      </w:r>
      <w:r>
        <w:rPr>
          <w:rFonts w:hint="eastAsia" w:ascii="Arial" w:hAnsi="Arial" w:cs="Arial"/>
          <w:b/>
          <w:bCs/>
          <w:sz w:val="24"/>
          <w:szCs w:val="24"/>
          <w:lang w:val="en-US" w:eastAsia="zh-CN"/>
        </w:rPr>
        <w:t>23</w:t>
      </w:r>
      <w:r>
        <w:rPr>
          <w:rFonts w:ascii="Arial" w:hAnsi="Arial" w:cs="Arial"/>
          <w:b/>
          <w:bCs/>
          <w:sz w:val="24"/>
          <w:szCs w:val="24"/>
        </w:rPr>
        <w:t>, 2024</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hint="eastAsia" w:ascii="Arial" w:hAnsi="Arial" w:cs="Arial"/>
          <w:b/>
          <w:bCs/>
          <w:sz w:val="24"/>
          <w:szCs w:val="24"/>
          <w:lang w:val="en-US" w:eastAsia="zh-CN"/>
        </w:rPr>
        <w:t xml:space="preserve">             </w:t>
      </w:r>
      <w:r>
        <w:rPr>
          <w:rFonts w:ascii="Arial" w:hAnsi="Arial" w:cs="Arial"/>
          <w:b/>
          <w:bCs/>
          <w:sz w:val="24"/>
          <w:szCs w:val="24"/>
        </w:rPr>
        <w:tab/>
      </w:r>
      <w:r>
        <w:rPr>
          <w:rFonts w:ascii="Arial" w:hAnsi="Arial" w:cs="Arial"/>
          <w:b/>
          <w:bCs/>
          <w:sz w:val="24"/>
          <w:szCs w:val="24"/>
        </w:rPr>
        <w:t>(revision of)</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w:t>
            </w:r>
            <w:r>
              <w:rPr>
                <w:rFonts w:hint="eastAsia"/>
                <w:b/>
                <w:sz w:val="28"/>
                <w:lang w:val="en-US" w:eastAsia="zh-CN"/>
              </w:rPr>
              <w:t>4</w:t>
            </w:r>
            <w:r>
              <w:rPr>
                <w:b/>
                <w:sz w:val="28"/>
              </w:rPr>
              <w:t>01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b/>
                <w:bCs/>
                <w:sz w:val="28"/>
                <w:szCs w:val="28"/>
              </w:rPr>
            </w:pPr>
            <w:r>
              <w:rPr>
                <w:rFonts w:hint="eastAsia"/>
                <w:b/>
                <w:bCs/>
                <w:sz w:val="28"/>
                <w:szCs w:val="28"/>
                <w:lang w:val="en-US" w:eastAsia="zh-CN"/>
              </w:rPr>
              <w:t>3795</w:t>
            </w:r>
            <w:r>
              <w:rPr>
                <w:b/>
                <w:bCs/>
                <w:sz w:val="28"/>
                <w:szCs w:val="28"/>
              </w:rPr>
              <w:fldChar w:fldCharType="begin"/>
            </w:r>
            <w:r>
              <w:rPr>
                <w:b/>
                <w:bCs/>
                <w:sz w:val="28"/>
                <w:szCs w:val="28"/>
              </w:rPr>
              <w:instrText xml:space="preserve">DOCPROPERTY  Cr#  \* MERGEFORMAT</w:instrText>
            </w:r>
            <w:r>
              <w:rPr>
                <w:b/>
                <w:bCs/>
                <w:sz w:val="28"/>
                <w:szCs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bCs/>
                <w:sz w:val="28"/>
                <w:szCs w:val="28"/>
              </w:rPr>
            </w:pPr>
            <w:r>
              <w:rPr>
                <w:b/>
                <w:bCs/>
                <w:sz w:val="28"/>
                <w:szCs w:val="28"/>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b/>
                <w:bCs/>
                <w:sz w:val="28"/>
              </w:rPr>
            </w:pPr>
            <w:r>
              <w:rPr>
                <w:b/>
                <w:bCs/>
                <w:sz w:val="28"/>
              </w:rPr>
              <w:t>18.</w:t>
            </w:r>
            <w:r>
              <w:rPr>
                <w:rFonts w:hint="eastAsia"/>
                <w:b/>
                <w:bCs/>
                <w:sz w:val="28"/>
                <w:lang w:val="en-US" w:eastAsia="zh-CN"/>
              </w:rPr>
              <w:t>6</w:t>
            </w:r>
            <w:r>
              <w:rPr>
                <w:b/>
                <w:bCs/>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bookmarkStart w:id="28" w:name="_GoBack"/>
      <w:bookmarkEnd w:id="28"/>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trHeight w:val="309" w:hRule="atLeast"/>
        </w:trPr>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eastAsia" w:eastAsiaTheme="minorEastAsia"/>
                <w:lang w:val="en-US" w:eastAsia="zh-CN"/>
              </w:rPr>
            </w:pPr>
            <w:bookmarkStart w:id="2" w:name="OLE_LINK5"/>
            <w:r>
              <w:rPr>
                <w:rFonts w:hint="eastAsia"/>
                <w:lang w:val="en-US" w:eastAsia="zh-CN"/>
              </w:rPr>
              <w:t xml:space="preserve">Adding new </w:t>
            </w:r>
            <w:bookmarkStart w:id="3" w:name="OLE_LINK4"/>
            <w:bookmarkStart w:id="4" w:name="OLE_LINK1"/>
            <w:r>
              <w:t>definition</w:t>
            </w:r>
            <w:bookmarkEnd w:id="3"/>
            <w:r>
              <w:rPr>
                <w:rFonts w:hint="eastAsia"/>
                <w:lang w:val="en-US" w:eastAsia="zh-CN"/>
              </w:rPr>
              <w:t>s</w:t>
            </w:r>
            <w:bookmarkEnd w:id="2"/>
            <w:bookmarkEnd w:id="4"/>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bookmarkStart w:id="5" w:name="OLE_LINK2" w:colFirst="1" w:colLast="4"/>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Theme="minorEastAsia"/>
                <w:lang w:val="en-US" w:eastAsia="zh-CN"/>
              </w:rPr>
            </w:pPr>
            <w:r>
              <w:rPr>
                <w:rFonts w:hint="eastAsia"/>
                <w:lang w:val="en-US" w:eastAsia="zh-CN"/>
              </w:rPr>
              <w:t>IPLOOK</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fldChar w:fldCharType="begin"/>
            </w:r>
            <w:r>
              <w:instrText xml:space="preserve">DOCPROPERTY  SourceIfTsg  \* MERGEFORMAT</w:instrText>
            </w:r>
            <w:r>
              <w:fldChar w:fldCharType="separate"/>
            </w:r>
            <w:r>
              <w:t>SA2</w:t>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lang w:val="en-US" w:eastAsia="zh-CN"/>
              </w:rPr>
              <w:t>5GSAT_Ph3_ARCH</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t>2024-0</w:t>
            </w:r>
            <w:r>
              <w:rPr>
                <w:rFonts w:hint="eastAsia"/>
                <w:lang w:val="en-US" w:eastAsia="zh-CN"/>
              </w:rPr>
              <w:t>8</w:t>
            </w:r>
            <w:r>
              <w:t>-1</w:t>
            </w:r>
          </w:p>
        </w:tc>
      </w:tr>
      <w:bookmarkEnd w:id="5"/>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bCs/>
              </w:rPr>
            </w:pPr>
            <w:r>
              <w:rPr>
                <w:b/>
                <w:bCs/>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DOCPROPERTY  Release  \* MERGEFORMAT</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rPr>
                <w:rFonts w:hint="default" w:eastAsiaTheme="minorEastAsia"/>
                <w:lang w:val="en-US" w:eastAsia="zh-CN"/>
              </w:rPr>
            </w:pPr>
            <w:r>
              <w:t xml:space="preserve">According to the </w:t>
            </w:r>
            <w:r>
              <w:rPr>
                <w:rFonts w:hint="eastAsia"/>
                <w:lang w:val="en-US" w:eastAsia="zh-CN"/>
              </w:rPr>
              <w:t xml:space="preserve">SA#104 in Shanghai, the TR 23700-29  has be </w:t>
            </w:r>
            <w:r>
              <w:rPr>
                <w:rFonts w:ascii="Arial" w:hAnsi="Arial" w:cs="Arial"/>
                <w:color w:val="000000"/>
                <w:sz w:val="22"/>
              </w:rPr>
              <w:t>considered 100% complete</w:t>
            </w:r>
            <w:r>
              <w:rPr>
                <w:rFonts w:hint="eastAsia" w:ascii="Arial" w:hAnsi="Arial" w:cs="Arial"/>
                <w:color w:val="000000"/>
                <w:sz w:val="22"/>
                <w:lang w:val="en-US" w:eastAsia="zh-CN"/>
              </w:rPr>
              <w:t>d</w:t>
            </w:r>
            <w:r>
              <w:rPr>
                <w:rFonts w:ascii="Arial" w:hAnsi="Arial" w:cs="Arial"/>
                <w:color w:val="000000"/>
                <w:sz w:val="22"/>
              </w:rPr>
              <w:t>.</w:t>
            </w:r>
            <w:r>
              <w:rPr>
                <w:rFonts w:hint="eastAsia" w:ascii="Arial" w:hAnsi="Arial" w:cs="Arial"/>
                <w:color w:val="000000"/>
                <w:sz w:val="22"/>
                <w:lang w:val="en-US" w:eastAsia="zh-CN"/>
              </w:rPr>
              <w:t xml:space="preserve"> There are some new definitions should be introduced in to </w:t>
            </w:r>
            <w:r>
              <w:t>specification</w:t>
            </w:r>
            <w:r>
              <w:rPr>
                <w:rFonts w:hint="eastAsia"/>
                <w:lang w:val="en-US" w:eastAsia="zh-CN"/>
              </w:rPr>
              <w:t>.</w:t>
            </w:r>
            <w:r>
              <w:rPr>
                <w:rFonts w:hint="eastAsia" w:ascii="Arial" w:hAnsi="Arial" w:cs="Arial"/>
                <w:color w:val="000000"/>
                <w:sz w:val="22"/>
                <w:lang w:val="en-US" w:eastAsia="zh-CN"/>
              </w:rPr>
              <w:t xml:space="preserve">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EE7434">
            <w:pPr>
              <w:pStyle w:val="81"/>
              <w:spacing w:after="0"/>
              <w:ind w:left="100"/>
              <w:rPr>
                <w:rFonts w:hint="default"/>
                <w:lang w:val="en-US"/>
              </w:rPr>
            </w:pPr>
            <w:r>
              <w:rPr>
                <w:lang w:eastAsia="zh-CN"/>
              </w:rPr>
              <w:t>New definitions are introduced in clause 3.1</w:t>
            </w:r>
            <w:r>
              <w:rPr>
                <w:rFonts w:hint="eastAsia"/>
                <w:lang w:val="en-US" w:eastAsia="zh-CN"/>
              </w:rPr>
              <w:t>.</w:t>
            </w:r>
          </w:p>
          <w:p w14:paraId="31C656EC">
            <w:pPr>
              <w:pStyle w:val="81"/>
              <w:spacing w:after="0"/>
              <w:ind w:left="100"/>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Theme="minorEastAsia"/>
                <w:lang w:val="en-US" w:eastAsia="zh-CN"/>
              </w:rPr>
            </w:pPr>
            <w:r>
              <w:rPr>
                <w:rFonts w:hint="eastAsia"/>
              </w:rPr>
              <w:t xml:space="preserve">Unclear meaning </w:t>
            </w:r>
            <w:r>
              <w:rPr>
                <w:rFonts w:hint="eastAsia"/>
                <w:lang w:val="en-US" w:eastAsia="zh-CN"/>
              </w:rPr>
              <w:t>may</w:t>
            </w:r>
            <w:r>
              <w:rPr>
                <w:rFonts w:hint="eastAsia"/>
              </w:rPr>
              <w:t xml:space="preserve"> confuse the reader</w:t>
            </w:r>
            <w:r>
              <w:rPr>
                <w:rFonts w:hint="eastAsia"/>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t>3.1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E518E15">
      <w:pPr>
        <w:sectPr>
          <w:headerReference r:id="rId4" w:type="even"/>
          <w:footnotePr>
            <w:numRestart w:val="eachSect"/>
          </w:footnotePr>
          <w:pgSz w:w="11907" w:h="16840"/>
          <w:pgMar w:top="1418" w:right="1134" w:bottom="1134" w:left="1134" w:header="680" w:footer="567" w:gutter="0"/>
          <w:cols w:space="720" w:num="1"/>
        </w:sectPr>
      </w:pPr>
    </w:p>
    <w:p w14:paraId="4851C01C">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eastAsia="zh-CN"/>
        </w:rPr>
      </w:pPr>
      <w:bookmarkStart w:id="6" w:name="_Toc36187928"/>
      <w:bookmarkStart w:id="7" w:name="_Toc106188106"/>
      <w:bookmarkStart w:id="8" w:name="_Toc20149998"/>
      <w:bookmarkStart w:id="9" w:name="_Toc47342674"/>
      <w:bookmarkStart w:id="10" w:name="_Toc153798851"/>
      <w:bookmarkStart w:id="11" w:name="_Toc51769375"/>
      <w:bookmarkStart w:id="12" w:name="_Toc131516675"/>
      <w:bookmarkStart w:id="13" w:name="_Toc45183832"/>
      <w:bookmarkStart w:id="14" w:name="_Toc27846797"/>
      <w:r>
        <w:rPr>
          <w:rFonts w:ascii="Arial" w:hAnsi="Arial"/>
          <w:i/>
          <w:color w:val="FF0000"/>
          <w:sz w:val="24"/>
          <w:lang w:val="en-US"/>
        </w:rPr>
        <w:t>FIRST CHANGE</w:t>
      </w:r>
    </w:p>
    <w:p w14:paraId="53C22E5E">
      <w:pPr>
        <w:pStyle w:val="2"/>
      </w:pPr>
      <w:bookmarkStart w:id="15" w:name="_Toc170189784"/>
      <w:bookmarkStart w:id="16" w:name="_Toc145935912"/>
      <w:bookmarkStart w:id="17" w:name="_Toc138309338"/>
      <w:r>
        <w:t>3</w:t>
      </w:r>
      <w:r>
        <w:tab/>
      </w:r>
      <w:r>
        <w:t>Definitions and abbreviations</w:t>
      </w:r>
      <w:bookmarkEnd w:id="15"/>
    </w:p>
    <w:p w14:paraId="5B79AF94">
      <w:pPr>
        <w:pStyle w:val="3"/>
      </w:pPr>
      <w:bookmarkStart w:id="18" w:name="_Toc45175816"/>
      <w:bookmarkStart w:id="19" w:name="_Toc19171693"/>
      <w:bookmarkStart w:id="20" w:name="_Toc51762814"/>
      <w:bookmarkStart w:id="21" w:name="_Toc36134135"/>
      <w:bookmarkStart w:id="22" w:name="_Toc27843977"/>
      <w:bookmarkStart w:id="23" w:name="_Toc51761846"/>
      <w:bookmarkStart w:id="24" w:name="_Toc170189785"/>
      <w:bookmarkStart w:id="25" w:name="_Toc51762331"/>
      <w:r>
        <w:t>3.1</w:t>
      </w:r>
      <w:r>
        <w:tab/>
      </w:r>
      <w:r>
        <w:t>Definitions</w:t>
      </w:r>
      <w:bookmarkEnd w:id="18"/>
      <w:bookmarkEnd w:id="19"/>
      <w:bookmarkEnd w:id="20"/>
      <w:bookmarkEnd w:id="21"/>
      <w:bookmarkEnd w:id="22"/>
      <w:bookmarkEnd w:id="23"/>
      <w:bookmarkEnd w:id="24"/>
      <w:bookmarkEnd w:id="25"/>
    </w:p>
    <w:p w14:paraId="66519C07">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3DB9B85">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EA3B7E">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06F94C7C">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24F7E054">
      <w:pPr>
        <w:keepLines/>
      </w:pPr>
      <w:r>
        <w:rPr>
          <w:b/>
        </w:rPr>
        <w:t>Default Bearer:</w:t>
      </w:r>
      <w:r>
        <w:t xml:space="preserve"> The EPS bearer which is first established for a new PDN connection and remains established throughout the lifetime of the PDN connection.</w:t>
      </w:r>
    </w:p>
    <w:p w14:paraId="5465C19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5EC0BE35">
      <w:r>
        <w:rPr>
          <w:b/>
        </w:rPr>
        <w:t>eCall Only Mode:</w:t>
      </w:r>
      <w:r>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234DD6DD">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7C38AD6E">
      <w:r>
        <w:rPr>
          <w:b/>
        </w:rPr>
        <w:t>Emergency attached UE:</w:t>
      </w:r>
      <w:r>
        <w:t xml:space="preserve"> A UE which only has bearer(s) related to emergency bearer service.</w:t>
      </w:r>
    </w:p>
    <w:p w14:paraId="25624A4D">
      <w:pPr>
        <w:pStyle w:val="56"/>
      </w:pPr>
      <w:r>
        <w:t>NOTE 1:</w:t>
      </w:r>
      <w:r>
        <w:tab/>
      </w:r>
      <w:r>
        <w:t>The above term is equivalent to the term "attached for emergency bearer services" as specified in TS 24.301 [46].</w:t>
      </w:r>
    </w:p>
    <w:p w14:paraId="46C930D5">
      <w:r>
        <w:rPr>
          <w:b/>
        </w:rPr>
        <w:t>LIPA PDN connection:</w:t>
      </w:r>
      <w:r>
        <w:t xml:space="preserve"> a PDN Connection for local access (e.g. for IP or Ethernet access) for a UE connected to a HeNB.</w:t>
      </w:r>
    </w:p>
    <w:p w14:paraId="2F633272">
      <w:r>
        <w:rPr>
          <w:b/>
        </w:rPr>
        <w:t>en-gNB:</w:t>
      </w:r>
      <w:r>
        <w:t xml:space="preserve"> As defined in TS 37.340 [85].</w:t>
      </w:r>
    </w:p>
    <w:p w14:paraId="0B931BCE">
      <w:r>
        <w:rPr>
          <w:b/>
        </w:rPr>
        <w:t>SIPTO at local network PDN connection:</w:t>
      </w:r>
      <w:r>
        <w:t xml:space="preserve"> a PDN connection for SIPTO at local network for a UE connected to a (H)eNB.</w:t>
      </w:r>
    </w:p>
    <w:p w14:paraId="259E5FE4">
      <w:r>
        <w:rPr>
          <w:b/>
        </w:rPr>
        <w:t>Correlation ID:</w:t>
      </w:r>
      <w:r>
        <w:t xml:space="preserve"> For a LIPA PDN connection, Correlation ID is a parameter that enables direct user plane path between the HeNB and L-GW.</w:t>
      </w:r>
    </w:p>
    <w:p w14:paraId="47D16E31">
      <w:r>
        <w:rPr>
          <w:b/>
        </w:rPr>
        <w:t>SIPTO Correlation ID:</w:t>
      </w:r>
      <w:r>
        <w:t xml:space="preserve"> For a SIPTO at local network PDN connection, SIPTO Correlation ID is a parameter that enables direct user plane path between the (H)eNB and L-GW when they are collocated.</w:t>
      </w:r>
    </w:p>
    <w:p w14:paraId="487D28C3">
      <w:r>
        <w:rPr>
          <w:b/>
        </w:rPr>
        <w:t>Local Home Network:</w:t>
      </w:r>
      <w:r>
        <w:t xml:space="preserve"> A set of (H)eNBs and L-GWs in the standalone GW architecture, where the (H)eNBs have IP connectivity for SIPTO at the Local Network via all the L-GWs.</w:t>
      </w:r>
    </w:p>
    <w:p w14:paraId="0491AE50">
      <w:r>
        <w:rPr>
          <w:b/>
        </w:rPr>
        <w:t>Local Home Network ID:</w:t>
      </w:r>
      <w:r>
        <w:t xml:space="preserve"> An identifier that uniquely identifies a Local Home Network within a PLMN.</w:t>
      </w:r>
    </w:p>
    <w:p w14:paraId="63D8F4FF">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eNodeBs and/or cells. There are two types of Presence Reporting Areas: "UE-dedicated Presence Reporting Areas" and "Core Network pre-configured Presence Reporting Areas" that apply to an MME pool.</w:t>
      </w:r>
    </w:p>
    <w:p w14:paraId="153BD4D9">
      <w:r>
        <w:rPr>
          <w:b/>
        </w:rPr>
        <w:t>RAN user plane congestion:</w:t>
      </w:r>
      <w:r>
        <w:t xml:space="preserve"> RAN user plane congestion occurs when the demand for RAN resources exceeds the available RAN capacity to deliver the user data for a prolonged period of time.</w:t>
      </w:r>
    </w:p>
    <w:p w14:paraId="33614620">
      <w:pPr>
        <w:pStyle w:val="56"/>
      </w:pPr>
      <w:r>
        <w:t>NOTE 2:</w:t>
      </w:r>
      <w:r>
        <w:tab/>
      </w:r>
      <w:r>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35CC036E">
      <w:r>
        <w:rPr>
          <w:b/>
        </w:rPr>
        <w:t xml:space="preserve">IOPS-capable </w:t>
      </w:r>
      <w:r>
        <w:t>eNodeB</w:t>
      </w:r>
      <w:r>
        <w:rPr>
          <w:b/>
        </w:rPr>
        <w:t>:</w:t>
      </w:r>
      <w:r>
        <w:t xml:space="preserve"> an eNodeB that has the capability of IOPS mode operation, which provides local connectivity (e.g. for IP or Ethernet) and public safety services to IOPS-enabled UEs via a Local EPC when the eNodeB has lost backhaul to the Macro EPC or it has no backhaul to the Macro EPC.</w:t>
      </w:r>
    </w:p>
    <w:p w14:paraId="6EAC6993">
      <w:r>
        <w:rPr>
          <w:b/>
        </w:rPr>
        <w:t>IOPS network:</w:t>
      </w:r>
      <w:r>
        <w:t xml:space="preserve"> an IOPS network consists of one or more eNodeBs operating in IOPS mode and connected to a Local EPC.</w:t>
      </w:r>
    </w:p>
    <w:p w14:paraId="675B2BB4">
      <w:r>
        <w:rPr>
          <w:b/>
        </w:rPr>
        <w:t>Local EPC:</w:t>
      </w:r>
      <w:r>
        <w:t xml:space="preserve"> a Local EPC is an entity which provides functionality that eNodeBs in IOPS mode of operation use, instead of the Macro EPC, in order to support public safety services.</w:t>
      </w:r>
    </w:p>
    <w:p w14:paraId="2FA8899C">
      <w:r>
        <w:rPr>
          <w:b/>
        </w:rPr>
        <w:t>Macro EPC:</w:t>
      </w:r>
      <w:r>
        <w:t xml:space="preserve"> the EPC which serves an eNodeB when it is not in IOPS mode of operation.</w:t>
      </w:r>
    </w:p>
    <w:p w14:paraId="6FB3EAC1">
      <w:r>
        <w:rPr>
          <w:b/>
        </w:rPr>
        <w:t>Nomadic EPS:</w:t>
      </w:r>
      <w:r>
        <w:t xml:space="preserve"> a deployable system which has the capability to provide radio access (via deployable IOPS-capable eNodeB(s)), local connectivity (e.g. for IP or Ethernet) and public safety services to IOPS-enabled UEs in the absence of normal EPS</w:t>
      </w:r>
    </w:p>
    <w:p w14:paraId="1575BB39">
      <w:r>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6441DA15">
      <w:r>
        <w:rPr>
          <w:b/>
        </w:rPr>
        <w:t>IOPS-enabled UE:</w:t>
      </w:r>
      <w:r>
        <w:t xml:space="preserve"> is an UE that is configured to use networks operating in IOPS mode.</w:t>
      </w:r>
    </w:p>
    <w:p w14:paraId="4D584E17">
      <w:r>
        <w:rPr>
          <w:b/>
        </w:rPr>
        <w:t>Cellular IoT:</w:t>
      </w:r>
      <w:r>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4FB8A8DD">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7A32FE53">
      <w:r>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1153A067">
      <w:r>
        <w:rPr>
          <w:b/>
        </w:rPr>
        <w:t>WB-E-UTRAN:</w:t>
      </w:r>
      <w:r>
        <w:t xml:space="preserve"> in the RAN, WB-E-UTRAN is the part of E-UTRAN that excludes NB-IoT. In the Core Network, the WB-E-UTRAN also excludes LTE-M. Unless otherwise stated in this specification, WB-E-UTRAN also includes satellite access.</w:t>
      </w:r>
    </w:p>
    <w:p w14:paraId="503D58C6">
      <w:r>
        <w:rPr>
          <w:b/>
        </w:rPr>
        <w:t>DCN-ID:</w:t>
      </w:r>
      <w:r>
        <w:t xml:space="preserve"> DCN identity identifies a specific dedicated core network (DCN).</w:t>
      </w:r>
    </w:p>
    <w:p w14:paraId="5C837719">
      <w:r>
        <w:t>For the purposes of the present document, the following terms and definitions given in TS 23.167 [81] apply:</w:t>
      </w:r>
    </w:p>
    <w:p w14:paraId="3A7CEBC0">
      <w:r>
        <w:rPr>
          <w:b/>
        </w:rPr>
        <w:t>eCall Over IMS:</w:t>
      </w:r>
      <w:r>
        <w:t xml:space="preserve"> See TS 23.167 [81].</w:t>
      </w:r>
    </w:p>
    <w:p w14:paraId="656CED47">
      <w:r>
        <w:rPr>
          <w:b/>
        </w:rPr>
        <w:t>RLOS attached UE:</w:t>
      </w:r>
      <w:r>
        <w:t xml:space="preserve"> A UE is attached only for accessing Restricted Local Operator Services (see TS 23.221 [27]).</w:t>
      </w:r>
    </w:p>
    <w:p w14:paraId="1ED7B667">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7D5FB0">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254BA0B3">
      <w:r>
        <w:rPr>
          <w:b/>
          <w:bCs/>
        </w:rPr>
        <w:t>Feeder link:</w:t>
      </w:r>
      <w:r>
        <w:t xml:space="preserve"> as defined in TS 36.300 [6].</w:t>
      </w:r>
    </w:p>
    <w:p w14:paraId="5578A22B">
      <w:pPr>
        <w:rPr>
          <w:rFonts w:hint="eastAsia"/>
          <w:lang w:val="en-US" w:eastAsia="zh-CN"/>
        </w:rPr>
      </w:pPr>
      <w:r>
        <w:rPr>
          <w:b/>
          <w:bCs/>
        </w:rPr>
        <w:t>Service link:</w:t>
      </w:r>
      <w:r>
        <w:t xml:space="preserve"> as defined in TS 36.300 [6]</w:t>
      </w:r>
      <w:r>
        <w:rPr>
          <w:rFonts w:hint="eastAsia"/>
          <w:lang w:val="en-US" w:eastAsia="zh-CN"/>
        </w:rPr>
        <w:t>.</w:t>
      </w:r>
    </w:p>
    <w:p w14:paraId="066DC5E4">
      <w:pPr>
        <w:keepNext/>
      </w:pPr>
      <w:ins w:id="0" w:author="IPLOOK" w:date="2024-08-01T14:49:11Z">
        <w:r>
          <w:rPr>
            <w:b/>
            <w:bCs/>
          </w:rPr>
          <w:t>Serving satellite:</w:t>
        </w:r>
      </w:ins>
      <w:ins w:id="1" w:author="IPLOOK" w:date="2024-08-01T14:49:11Z">
        <w:r>
          <w:rPr/>
          <w:t xml:space="preserve"> a satellite providing the satellite access to a UE (e.g. providing the serving cell(s)). Depending on the orbit, the serving satellite is covering a given geographic area for a limited period of time.</w:t>
        </w:r>
      </w:ins>
    </w:p>
    <w:p w14:paraId="5AA41921">
      <w:pPr>
        <w:keepNext/>
      </w:pPr>
      <w:ins w:id="2" w:author="IPLOOK" w:date="2024-08-01T14:49:11Z">
        <w:r>
          <w:rPr>
            <w:b/>
            <w:bCs/>
          </w:rPr>
          <w:t>S&amp;F Satellite operation:</w:t>
        </w:r>
      </w:ins>
      <w:ins w:id="3" w:author="IPLOOK" w:date="2024-08-01T14:49:11Z">
        <w:r>
          <w:rP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57F17E85">
      <w:pPr>
        <w:keepNext/>
        <w:rPr>
          <w:ins w:id="4" w:author="IPLOOK" w:date="2024-08-01T14:49:11Z"/>
        </w:rPr>
      </w:pPr>
      <w:ins w:id="5" w:author="IPLOOK" w:date="2024-08-01T14:49:11Z">
        <w:r>
          <w:rPr>
            <w:b/>
            <w:bCs/>
          </w:rPr>
          <w:t>UE-Satellite-UE Communication:</w:t>
        </w:r>
      </w:ins>
      <w:ins w:id="6" w:author="IPLOOK" w:date="2024-08-01T14:49:11Z">
        <w:r>
          <w:rPr/>
          <w:t xml:space="preserve"> refers to a communication between UEs under the coverage of one or more serving satellites, using satellite access without the user traffic transiting through the ground segment.</w:t>
        </w:r>
      </w:ins>
    </w:p>
    <w:p w14:paraId="22A0FE83">
      <w:pPr>
        <w:pStyle w:val="56"/>
        <w:rPr>
          <w:rFonts w:eastAsia="Malgun Gothic"/>
          <w:lang w:eastAsia="ko-KR"/>
        </w:rPr>
      </w:pPr>
      <w:ins w:id="7" w:author="IPLOOK" w:date="2024-08-01T14:49:11Z">
        <w:r>
          <w:rPr/>
          <w:t>NOTE:</w:t>
        </w:r>
      </w:ins>
      <w:ins w:id="8" w:author="IPLOOK" w:date="2024-08-01T14:49:11Z">
        <w:r>
          <w:rPr/>
          <w:tab/>
        </w:r>
      </w:ins>
      <w:ins w:id="9" w:author="IPLOOK" w:date="2024-08-01T14:49:11Z">
        <w:r>
          <w:rPr/>
          <w:t>These definitions are different from those in TS 22.261 [6].</w:t>
        </w:r>
      </w:ins>
      <w:bookmarkStart w:id="26" w:name="_Toc138309339"/>
      <w:bookmarkStart w:id="27" w:name="_Toc145935913"/>
    </w:p>
    <w:p w14:paraId="55E703CD">
      <w:pPr>
        <w:pStyle w:val="56"/>
        <w:ind w:left="0" w:firstLine="0"/>
        <w:rPr>
          <w:ins w:id="10" w:author="IPLOOK" w:date="2024-08-01T14:52:21Z"/>
          <w:rFonts w:eastAsia="Malgun Gothic"/>
          <w:lang w:eastAsia="ko-KR"/>
        </w:rPr>
      </w:pPr>
      <w:ins w:id="11" w:author="IPLOOK" w:date="2024-08-01T14:49:11Z">
        <w:r>
          <w:rPr>
            <w:rFonts w:eastAsia="Malgun Gothic"/>
            <w:b/>
            <w:lang w:eastAsia="ko-KR"/>
          </w:rPr>
          <w:t>NTN Gateway</w:t>
        </w:r>
      </w:ins>
      <w:ins w:id="12" w:author="IPLOOK" w:date="2024-08-01T14:49:11Z">
        <w:r>
          <w:rPr>
            <w:rFonts w:eastAsia="Malgun Gothic"/>
            <w:lang w:eastAsia="ko-KR"/>
          </w:rPr>
          <w:t>: an earth station located at the surface of the earth, providing connectivity to the NTN payload using the feeder link. An NTN Gateway is a TNL node.</w:t>
        </w:r>
      </w:ins>
    </w:p>
    <w:bookmarkEnd w:id="6"/>
    <w:bookmarkEnd w:id="7"/>
    <w:bookmarkEnd w:id="8"/>
    <w:bookmarkEnd w:id="9"/>
    <w:bookmarkEnd w:id="10"/>
    <w:bookmarkEnd w:id="11"/>
    <w:bookmarkEnd w:id="12"/>
    <w:bookmarkEnd w:id="13"/>
    <w:bookmarkEnd w:id="14"/>
    <w:bookmarkEnd w:id="16"/>
    <w:bookmarkEnd w:id="17"/>
    <w:bookmarkEnd w:id="26"/>
    <w:bookmarkEnd w:id="27"/>
    <w:p w14:paraId="369DD998">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eastAsia="zh-CN"/>
        </w:rPr>
      </w:pPr>
      <w:r>
        <w:rPr>
          <w:rFonts w:ascii="Arial" w:hAnsi="Arial"/>
          <w:i/>
          <w:color w:val="FF0000"/>
          <w:sz w:val="24"/>
          <w:lang w:val="en-US"/>
        </w:rPr>
        <w:t>End of CHANGES</w:t>
      </w:r>
    </w:p>
    <w:p w14:paraId="4C095D1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
    <w15:presenceInfo w15:providerId="None" w15:userId="IPL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0562"/>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DD7"/>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93374EA"/>
    <w:rsid w:val="0CF978AE"/>
    <w:rsid w:val="13332968"/>
    <w:rsid w:val="141360B6"/>
    <w:rsid w:val="1F600056"/>
    <w:rsid w:val="1F75D744"/>
    <w:rsid w:val="1F9433D3"/>
    <w:rsid w:val="221C56B3"/>
    <w:rsid w:val="28D0DCEB"/>
    <w:rsid w:val="31301A5C"/>
    <w:rsid w:val="3C489EE5"/>
    <w:rsid w:val="52746186"/>
    <w:rsid w:val="5EA50BDE"/>
    <w:rsid w:val="633B1024"/>
    <w:rsid w:val="63B4574E"/>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92"/>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3"/>
    <w:qFormat/>
    <w:uiPriority w:val="0"/>
    <w:rPr>
      <w:color w:val="FF0000"/>
    </w:rPr>
  </w:style>
  <w:style w:type="paragraph" w:customStyle="1" w:styleId="75">
    <w:name w:val="B1"/>
    <w:basedOn w:val="14"/>
    <w:link w:val="83"/>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NO Char"/>
    <w:qFormat/>
    <w:uiPriority w:val="0"/>
    <w:rPr>
      <w:lang w:val="en-GB" w:eastAsia="en-GB"/>
    </w:rPr>
  </w:style>
  <w:style w:type="character" w:customStyle="1" w:styleId="89">
    <w:name w:val="Heading 3 Char"/>
    <w:basedOn w:val="43"/>
    <w:link w:val="4"/>
    <w:qFormat/>
    <w:uiPriority w:val="0"/>
    <w:rPr>
      <w:rFonts w:ascii="Arial" w:hAnsi="Arial"/>
      <w:sz w:val="28"/>
      <w:lang w:val="en-GB" w:eastAsia="en-US"/>
    </w:rPr>
  </w:style>
  <w:style w:type="paragraph" w:customStyle="1" w:styleId="9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1">
    <w:name w:val="eop"/>
    <w:basedOn w:val="43"/>
    <w:qFormat/>
    <w:uiPriority w:val="0"/>
  </w:style>
  <w:style w:type="character" w:customStyle="1" w:styleId="92">
    <w:name w:val="EX Char"/>
    <w:link w:val="57"/>
    <w:qFormat/>
    <w:locked/>
    <w:uiPriority w:val="0"/>
    <w:rPr>
      <w:rFonts w:ascii="Times New Roman" w:hAnsi="Times New Roman"/>
      <w:lang w:val="en-GB" w:eastAsia="en-US"/>
    </w:rPr>
  </w:style>
  <w:style w:type="character" w:customStyle="1" w:styleId="93">
    <w:name w:val="Editor's Note Char"/>
    <w:link w:val="74"/>
    <w:qFormat/>
    <w:uiPriority w:val="0"/>
    <w:rPr>
      <w:rFonts w:ascii="Times New Roman" w:hAnsi="Times New Roman"/>
      <w:color w:val="FF0000"/>
      <w:lang w:val="en-GB" w:eastAsia="en-US"/>
    </w:rPr>
  </w:style>
  <w:style w:type="character" w:customStyle="1" w:styleId="94">
    <w:name w:val="EX Car"/>
    <w:qFormat/>
    <w:uiPriority w:val="0"/>
    <w:rPr>
      <w:rFonts w:eastAsia="Times New Roman"/>
      <w:lang w:val="en-GB" w:eastAsia="en-GB"/>
    </w:rPr>
  </w:style>
  <w:style w:type="paragraph" w:customStyle="1" w:styleId="95">
    <w:name w:val="Revision"/>
    <w:hidden/>
    <w:semiHidden/>
    <w:qFormat/>
    <w:uiPriority w:val="99"/>
    <w:rPr>
      <w:rFonts w:ascii="Times New Roman" w:hAnsi="Times New Roman" w:cs="Times New Roman" w:eastAsiaTheme="minorEastAsia"/>
      <w:lang w:val="en-GB" w:eastAsia="en-US" w:bidi="ar-SA"/>
    </w:rPr>
  </w:style>
  <w:style w:type="character" w:customStyle="1" w:styleId="96">
    <w:name w:val="Heading 2 Char"/>
    <w:link w:val="3"/>
    <w:qFormat/>
    <w:uiPriority w:val="0"/>
    <w:rPr>
      <w:rFonts w:ascii="Arial" w:hAnsi="Arial"/>
      <w:sz w:val="3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0834E2-DBBE-47B0-BFF5-5777D654737E}">
  <ds:schemaRefs/>
</ds:datastoreItem>
</file>

<file path=customXml/itemProps2.xml><?xml version="1.0" encoding="utf-8"?>
<ds:datastoreItem xmlns:ds="http://schemas.openxmlformats.org/officeDocument/2006/customXml" ds:itemID="{7DFC81BB-CB38-4AF8-A716-6EA07EE529CA}">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5E3B0D78-CA87-4D95-9FC6-7D08C3AB05D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1773</Words>
  <Characters>8914</Characters>
  <Lines>198</Lines>
  <Paragraphs>56</Paragraphs>
  <TotalTime>0</TotalTime>
  <ScaleCrop>false</ScaleCrop>
  <LinksUpToDate>false</LinksUpToDate>
  <CharactersWithSpaces>10619</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2023-05-11T10:05:00Z</dcterms:created>
  <dc:creator>Michael Sanders, John M Meredith</dc:creator>
  <cp:lastModifiedBy>IPLOOK</cp:lastModifiedBy>
  <cp:lastPrinted>2411-12-31T17:00:00Z</cp:lastPrinted>
  <dcterms:modified xsi:type="dcterms:W3CDTF">2024-08-08T07:32:52Z</dcterms:modified>
  <dc:title>MTG_TITLE</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KSOProductBuildVer">
    <vt:lpwstr>2052-12.1.0.17813</vt:lpwstr>
  </property>
  <property fmtid="{D5CDD505-2E9C-101B-9397-08002B2CF9AE}" pid="24" name="ICV">
    <vt:lpwstr>E9D4739BA6914B3895C7A57372EF0167_13</vt:lpwstr>
  </property>
</Properties>
</file>